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F99" w:rsidRPr="00990F99" w:rsidTr="00990F99">
        <w:trPr>
          <w:trHeight w:val="600"/>
          <w:tblCellSpacing w:w="0" w:type="dxa"/>
          <w:jc w:val="center"/>
        </w:trPr>
        <w:tc>
          <w:tcPr>
            <w:tcW w:w="0" w:type="auto"/>
            <w:hideMark/>
          </w:tcPr>
          <w:p w:rsidR="00990F99" w:rsidRDefault="00990F99" w:rsidP="009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>Colegiul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 xml:space="preserve"> Economic “Virgil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>Madgearu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>București</w:t>
            </w:r>
            <w:proofErr w:type="spellEnd"/>
          </w:p>
          <w:p w:rsidR="00990F99" w:rsidRDefault="00990F99" w:rsidP="009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</w:pPr>
          </w:p>
          <w:p w:rsidR="00990F99" w:rsidRDefault="00990F99" w:rsidP="009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>Viziunea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>misiunea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>v</w:t>
            </w:r>
            <w:r w:rsidRPr="00990F99"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>alorile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  <w:t>școlii</w:t>
            </w:r>
            <w:proofErr w:type="spellEnd"/>
          </w:p>
          <w:p w:rsidR="00990F99" w:rsidRDefault="00990F99" w:rsidP="009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</w:rPr>
            </w:pPr>
          </w:p>
          <w:p w:rsidR="00990F99" w:rsidRPr="00990F99" w:rsidRDefault="00990F99" w:rsidP="0099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30321"/>
                <w:sz w:val="28"/>
                <w:szCs w:val="28"/>
                <w:lang w:val="ro-RO"/>
              </w:rPr>
            </w:pPr>
          </w:p>
          <w:p w:rsidR="00990F99" w:rsidRPr="00990F99" w:rsidRDefault="00990F99" w:rsidP="00990F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</w:p>
        </w:tc>
      </w:tr>
      <w:tr w:rsidR="00990F99" w:rsidRPr="00990F99" w:rsidTr="00990F99">
        <w:trPr>
          <w:tblCellSpacing w:w="0" w:type="dxa"/>
          <w:jc w:val="center"/>
        </w:trPr>
        <w:tc>
          <w:tcPr>
            <w:tcW w:w="0" w:type="auto"/>
            <w:hideMark/>
          </w:tcPr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</w:rPr>
              <w:t>Viziunea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</w:rPr>
              <w:t>şcolii</w:t>
            </w:r>
            <w:proofErr w:type="spellEnd"/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noastră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-</w:t>
            </w:r>
            <w:proofErr w:type="gram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 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garanţia</w:t>
            </w:r>
            <w:proofErr w:type="spellEnd"/>
            <w:proofErr w:type="gram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unei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educaţii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calitate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vederea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excelenţei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carieră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.</w:t>
            </w: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 </w:t>
            </w: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</w:rPr>
              <w:t>Misiunea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</w:rPr>
              <w:t>şcolii</w:t>
            </w:r>
            <w:proofErr w:type="spellEnd"/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Misiunea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noastră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este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:</w:t>
            </w:r>
          </w:p>
          <w:p w:rsidR="00990F99" w:rsidRPr="00990F99" w:rsidRDefault="00990F99" w:rsidP="00990F99">
            <w:pPr>
              <w:numPr>
                <w:ilvl w:val="0"/>
                <w:numId w:val="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promovarea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unui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învăţământ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modern,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deschis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flexibil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capabil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asigure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accesul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la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învăţământul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universitar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și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la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piața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muncii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din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perspectiva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formării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abilităţilor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competenţelor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pentru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realizarea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suc</w:t>
            </w:r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cesului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profesional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;</w:t>
            </w:r>
          </w:p>
          <w:p w:rsidR="00990F99" w:rsidRPr="00990F99" w:rsidRDefault="00990F99" w:rsidP="00990F99">
            <w:pPr>
              <w:numPr>
                <w:ilvl w:val="0"/>
                <w:numId w:val="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facilitarea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unui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dialog permanent,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deschis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flexibil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între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tenerii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sociali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educaţionali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;</w:t>
            </w:r>
          </w:p>
          <w:p w:rsidR="00990F99" w:rsidRPr="00990F99" w:rsidRDefault="00990F99" w:rsidP="00990F99">
            <w:pPr>
              <w:numPr>
                <w:ilvl w:val="0"/>
                <w:numId w:val="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asigurarea</w:t>
            </w:r>
            <w:proofErr w:type="spellEnd"/>
            <w:proofErr w:type="gram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dezvoltării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personalității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 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educabililor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într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-un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climat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stimulativ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colaborare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siguranţă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.</w:t>
            </w: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 </w:t>
            </w: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</w:rPr>
              <w:t>Valorile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</w:rPr>
              <w:t>pe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</w:rPr>
              <w:t xml:space="preserve"> care le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</w:rPr>
              <w:t>promovăm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</w:rPr>
              <w:t>:</w:t>
            </w:r>
          </w:p>
          <w:p w:rsidR="00990F99" w:rsidRPr="00990F99" w:rsidRDefault="00990F99" w:rsidP="00990F99">
            <w:pPr>
              <w:numPr>
                <w:ilvl w:val="0"/>
                <w:numId w:val="2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 </w:t>
            </w:r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respect</w:t>
            </w:r>
          </w:p>
          <w:p w:rsidR="00990F99" w:rsidRPr="00990F99" w:rsidRDefault="00990F99" w:rsidP="00990F99">
            <w:pPr>
              <w:numPr>
                <w:ilvl w:val="0"/>
                <w:numId w:val="2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corectitudine</w:t>
            </w:r>
            <w:proofErr w:type="spellEnd"/>
          </w:p>
          <w:p w:rsidR="00990F99" w:rsidRPr="00990F99" w:rsidRDefault="00990F99" w:rsidP="00990F99">
            <w:pPr>
              <w:numPr>
                <w:ilvl w:val="0"/>
                <w:numId w:val="2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demnitate</w:t>
            </w:r>
            <w:proofErr w:type="spellEnd"/>
          </w:p>
          <w:p w:rsidR="00990F99" w:rsidRPr="00990F99" w:rsidRDefault="00990F99" w:rsidP="00990F99">
            <w:pPr>
              <w:numPr>
                <w:ilvl w:val="0"/>
                <w:numId w:val="2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competenţă</w:t>
            </w:r>
            <w:proofErr w:type="spellEnd"/>
          </w:p>
          <w:p w:rsidR="00990F99" w:rsidRPr="00990F99" w:rsidRDefault="00990F99" w:rsidP="00990F99">
            <w:pPr>
              <w:numPr>
                <w:ilvl w:val="0"/>
                <w:numId w:val="2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prosperitate</w:t>
            </w:r>
            <w:proofErr w:type="spellEnd"/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 </w:t>
            </w: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</w:pP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>Nevoile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 xml:space="preserve">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>educaţie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>identificate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 xml:space="preserve"> la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>nivelul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>societăţii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 xml:space="preserve"> al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>comunităţii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>vizează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>următoarele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>aspecte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color w:val="132D0B"/>
                <w:sz w:val="28"/>
                <w:szCs w:val="28"/>
              </w:rPr>
              <w:t xml:space="preserve"> :</w:t>
            </w:r>
          </w:p>
          <w:p w:rsid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1.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Dezvoltarea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individuală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a 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elevului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</w:p>
          <w:p w:rsid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lastRenderedPageBreak/>
              <w:t>Plecând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de la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principiul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profesorul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este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"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ofertant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educaţie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"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pentru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elev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accentul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proiectelor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şcolare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al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programelor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din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cadrul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comisiilor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metodice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cade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o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ofertă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educaţională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urmăreşte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dezvoltarea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profesionala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individuala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a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elevului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formăm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consolidăm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deprinderi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abilităţi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competenţe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permit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încadrarea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piaţa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muncii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(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tehnician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activităţi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economice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tehnician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turism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);</w:t>
            </w:r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br/>
              <w:t>"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Produsul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finit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" al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educaţiei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oferite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trebuie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fie un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cetăţean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european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pregătit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pentru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competiţie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profesională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socială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cu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principii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morale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sănătoase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cu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personalitate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bine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dezvoltată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.</w:t>
            </w: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</w:p>
          <w:p w:rsid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2. 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Crearea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unui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climat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muncă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învăţare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stimulativ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</w:p>
          <w:p w:rsid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Este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încurajat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atât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spiritul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echipă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(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lucru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echipă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)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cât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rezultatul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individual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activitatea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educativă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.</w:t>
            </w: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</w:p>
          <w:p w:rsid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3. 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Garantarea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pregătirii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specializate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 </w:t>
            </w:r>
          </w:p>
          <w:p w:rsid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Pregătirea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profesională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este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garantată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ca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fiind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calitate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.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Există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un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corp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profesoral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bine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pregătit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profesional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stabil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cu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rezultate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deosebite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la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clasa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la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concursurile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scolare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.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Gradul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mare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accedere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spre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diferitele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specializări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din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învăţământul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universitar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sunt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o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garanţie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a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calităţii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pregătirii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din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liceu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.</w:t>
            </w: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</w:p>
          <w:p w:rsid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4.  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Asigurarea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părinţilor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că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educaţia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copiilor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se face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într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-un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mediu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sigur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printr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-o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formare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personală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permanent</w:t>
            </w:r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Educaţia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elevilor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se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realizează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într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-un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mediu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sigur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atât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sensul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"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securităţii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", "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siguranţei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"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cât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sensul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"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formării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permanente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".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Parteneriatul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cu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Jandarmeria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Poliţia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cât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intrarea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într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-un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proiect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cu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Ministerul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de Interne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stau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garanţie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.</w:t>
            </w: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Trecerea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de la un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nivel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la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altul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este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mai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uşoară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prin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sprijinul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oferit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cadrele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didactice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cu o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bogată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experienţă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psihopedagogică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.</w:t>
            </w: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Realizarea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acestor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obiective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printr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-un curriculum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dezvoltare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locală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specific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printr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-o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valorificare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eficientă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a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resurselor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umane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materiale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va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răspunde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cerinţelor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expectanţelor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elevilor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părinţilor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profesorilor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comunităţii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.</w:t>
            </w:r>
          </w:p>
          <w:p w:rsid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lastRenderedPageBreak/>
              <w:t>Partenerii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 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educaţion</w:t>
            </w:r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ali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,</w:t>
            </w:r>
            <w:proofErr w:type="gram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  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elevi</w:t>
            </w:r>
            <w:proofErr w:type="spellEnd"/>
            <w:proofErr w:type="gram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părinţi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c</w:t>
            </w:r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omunitate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instituţii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 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publice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 au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beneficiat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prin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implicare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competenţele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profesionale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ale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cadrelor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didactice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, didactic-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auxiliar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administrativ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certitudini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: 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educaţie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decentă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siguranţă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deschidere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spre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b/>
                <w:bCs/>
                <w:color w:val="132D0B"/>
                <w:sz w:val="28"/>
                <w:szCs w:val="28"/>
              </w:rPr>
              <w:t>nou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.</w:t>
            </w: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</w:p>
          <w:p w:rsidR="00990F99" w:rsidRPr="00990F99" w:rsidRDefault="00990F99" w:rsidP="00990F9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</w:pP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Beneficiarii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acestor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obiective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valori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elevii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sau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partenerii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au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găsit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aici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respectarea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aplicarea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legislaţiei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raport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cu AQUIS-UL COMUNITAR,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în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ceea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priveşte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calitatea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eficientizarea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şi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desfăşurarea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procesului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 xml:space="preserve"> de </w:t>
            </w:r>
            <w:proofErr w:type="spellStart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predare-învăţare-evaluare</w:t>
            </w:r>
            <w:proofErr w:type="spellEnd"/>
            <w:r w:rsidRPr="00990F99">
              <w:rPr>
                <w:rFonts w:ascii="Times New Roman" w:eastAsia="Times New Roman" w:hAnsi="Times New Roman" w:cs="Times New Roman"/>
                <w:color w:val="132D0B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F0654C" w:rsidRPr="00990F99" w:rsidRDefault="00990F99" w:rsidP="00990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F0654C" w:rsidRPr="0099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10D"/>
    <w:multiLevelType w:val="multilevel"/>
    <w:tmpl w:val="7DF2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34C74"/>
    <w:multiLevelType w:val="multilevel"/>
    <w:tmpl w:val="6F0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E5"/>
    <w:rsid w:val="00990F99"/>
    <w:rsid w:val="00F0654C"/>
    <w:rsid w:val="00F0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2</cp:revision>
  <dcterms:created xsi:type="dcterms:W3CDTF">2018-06-18T17:10:00Z</dcterms:created>
  <dcterms:modified xsi:type="dcterms:W3CDTF">2018-06-18T17:14:00Z</dcterms:modified>
</cp:coreProperties>
</file>